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560.0" w:type="dxa"/>
        <w:jc w:val="left"/>
        <w:tblInd w:w="1008.0" w:type="dxa"/>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the Monitored Company as set out in Annex 2 and</w:t>
            </w:r>
          </w:p>
        </w:tc>
      </w:tr>
      <w:tr>
        <w:trPr>
          <w:cantSplit w:val="0"/>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or one or more of the following events:</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the Monitored Company of any financial indebtedness;</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CCS reasonably believes (or would be likely reasonably to believe) could directly impact on the continued performance of any Contract and delivery of the Deliverables in accordance with any Call-Off Contract;</w:t>
            </w:r>
          </w:p>
        </w:tc>
      </w:tr>
      <w:tr>
        <w:trPr>
          <w:cantSplit w:val="0"/>
          <w:tblHeader w:val="0"/>
        </w:trPr>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Service Continuity Plan"</w:t>
            </w:r>
          </w:p>
        </w:tc>
        <w:tc>
          <w:tcPr/>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p>
        </w:tc>
        <w:tc>
          <w:tcPr/>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Framework Guarantor/ [and Call-Off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w:t>
            </w:r>
          </w:p>
        </w:tc>
      </w:tr>
    </w:tbl>
    <w:p w:rsidR="00000000" w:rsidDel="00000000" w:rsidP="00000000" w:rsidRDefault="00000000" w:rsidRPr="00000000" w14:paraId="0000001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Monitored Companies and the consequences of a change to that financial standing.</w:t>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of this Schedule shall survive: </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1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01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CCS that as at the Start Date the long term credit ratings issued for the Monitored Companies by each of the Rating Agencies are as set out in Annex 2. </w:t>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(and in any event within five (5) Working Days) notify CCS in writing if there is any downgrade in the credit rating issued by any Rating Agency for a Monitored Company.</w:t>
      </w:r>
    </w:p>
    <w:p w:rsidR="00000000" w:rsidDel="00000000" w:rsidP="00000000" w:rsidRDefault="00000000" w:rsidRPr="00000000" w14:paraId="0000002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such other date as may be requested by CCS.  For these purposes the "quick ratio" on any date means:</w:t>
      </w:r>
    </w:p>
    <w:p w:rsidR="00000000" w:rsidDel="00000000" w:rsidP="00000000" w:rsidRDefault="00000000" w:rsidRPr="00000000" w14:paraId="00000022">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4"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5"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tbl>
      <w:tblPr>
        <w:tblStyle w:val="Table2"/>
        <w:tblW w:w="8317.0" w:type="dxa"/>
        <w:jc w:val="left"/>
        <w:tblInd w:w="709.0" w:type="dxa"/>
        <w:tblLayout w:type="fixed"/>
        <w:tblLook w:val="0400"/>
      </w:tblPr>
      <w:tblGrid>
        <w:gridCol w:w="1524"/>
        <w:gridCol w:w="6793"/>
        <w:tblGridChange w:id="0">
          <w:tblGrid>
            <w:gridCol w:w="1524"/>
            <w:gridCol w:w="6793"/>
          </w:tblGrid>
        </w:tblGridChange>
      </w:tblGrid>
      <w:tr>
        <w:trPr>
          <w:cantSplit w:val="0"/>
          <w:tblHeader w:val="0"/>
        </w:trPr>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r>
          </w:p>
        </w:tc>
        <w:tc>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r>
          </w:p>
        </w:tc>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r>
          </w:p>
        </w:tc>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account receivables of the Monitored]; and</w:t>
            </w:r>
          </w:p>
        </w:tc>
      </w:tr>
      <w:tr>
        <w:trPr>
          <w:cantSplit w:val="0"/>
          <w:tblHeader w:val="0"/>
        </w:trPr>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r>
          </w:p>
        </w:tc>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the current liabilities of the Monitored Company].</w:t>
            </w:r>
          </w:p>
        </w:tc>
      </w:tr>
    </w:tbl>
    <w:p w:rsidR="00000000" w:rsidDel="00000000" w:rsidP="00000000" w:rsidRDefault="00000000" w:rsidRPr="00000000" w14:paraId="0000002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p>
    <w:p w:rsidR="00000000" w:rsidDel="00000000" w:rsidP="00000000" w:rsidRDefault="00000000" w:rsidRPr="00000000" w14:paraId="0000002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02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03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5"/>
      <w:bookmarkEnd w:id="5"/>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delete this clause if there are no Key Subcontractors or the Key Subcontractors are not</w:t>
      </w:r>
      <w:bookmarkStart w:colFirst="0" w:colLast="0" w:name="bookmark=id.tyjcwt"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Monitored Company]</w:t>
      </w:r>
    </w:p>
    <w:p w:rsidR="00000000" w:rsidDel="00000000" w:rsidP="00000000" w:rsidRDefault="00000000" w:rsidRPr="00000000" w14:paraId="0000003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rsidR="00000000" w:rsidDel="00000000" w:rsidP="00000000" w:rsidRDefault="00000000" w:rsidRPr="00000000" w14:paraId="0000003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p>
    <w:p w:rsidR="00000000" w:rsidDel="00000000" w:rsidP="00000000" w:rsidRDefault="00000000" w:rsidRPr="00000000" w14:paraId="0000003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reasonable satisfaction that there is a valid reason for late or non-payment.]</w:t>
      </w:r>
    </w:p>
    <w:p w:rsidR="00000000" w:rsidDel="00000000" w:rsidP="00000000" w:rsidRDefault="00000000" w:rsidRPr="00000000" w14:paraId="0000003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03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03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03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CCS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03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financial information relating to the Monitored Company as CCS may reasonably require.</w:t>
      </w:r>
    </w:p>
    <w:p w:rsidR="00000000" w:rsidDel="00000000" w:rsidP="00000000" w:rsidRDefault="00000000" w:rsidRPr="00000000" w14:paraId="0000003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rsidR="00000000" w:rsidDel="00000000" w:rsidP="00000000" w:rsidRDefault="00000000" w:rsidRPr="00000000" w14:paraId="0000003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03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Service Continuity Plan by CCS, the Supplier shall:</w:t>
      </w:r>
    </w:p>
    <w:p w:rsidR="00000000" w:rsidDel="00000000" w:rsidP="00000000" w:rsidRDefault="00000000" w:rsidRPr="00000000" w14:paraId="0000003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03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04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04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4.64.6. </w:t>
      </w:r>
    </w:p>
    <w:p w:rsidR="00000000" w:rsidDel="00000000" w:rsidP="00000000" w:rsidRDefault="00000000" w:rsidRPr="00000000" w14:paraId="0000004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04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04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04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CCS of a Financial Distress Event in accordance with Paragraph 3.4; </w:t>
      </w:r>
    </w:p>
    <w:p w:rsidR="00000000" w:rsidDel="00000000" w:rsidP="00000000" w:rsidRDefault="00000000" w:rsidRPr="00000000" w14:paraId="0000004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04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04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04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04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not be entitled to require the Supplier to provide financial information in accordance with Paragraph 4.3.2(b). </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j2qqm3" w:id="19"/>
      <w:bookmarkEnd w:id="19"/>
      <w:r w:rsidDel="00000000" w:rsidR="00000000" w:rsidRPr="00000000">
        <w:br w:type="page"/>
      </w:r>
      <w:r w:rsidDel="00000000" w:rsidR="00000000" w:rsidRPr="00000000">
        <w:rPr>
          <w:rtl w:val="0"/>
        </w:rPr>
      </w:r>
    </w:p>
    <w:p w:rsidR="00000000" w:rsidDel="00000000" w:rsidP="00000000" w:rsidRDefault="00000000" w:rsidRPr="00000000" w14:paraId="0000004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1y810tw" w:id="20"/>
      <w:bookmarkEnd w:id="20"/>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1: RATING AGENCIES</w:t>
      </w:r>
    </w:p>
    <w:p w:rsidR="00000000" w:rsidDel="00000000" w:rsidP="00000000" w:rsidRDefault="00000000" w:rsidRPr="00000000" w14:paraId="0000005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1- Dun &amp; Bradstreet </w:t>
      </w:r>
    </w:p>
    <w:p w:rsidR="00000000" w:rsidDel="00000000" w:rsidP="00000000" w:rsidRDefault="00000000" w:rsidRPr="00000000" w14:paraId="0000005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i7ojhp" w:id="21"/>
      <w:bookmarkEnd w:id="21"/>
      <w:r w:rsidDel="00000000" w:rsidR="00000000" w:rsidRPr="00000000">
        <w:br w:type="page"/>
      </w: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2: CREDIT RATINGS &amp; CREDIT RATING THRESHOLDS</w:t>
      </w:r>
      <w:r w:rsidDel="00000000" w:rsidR="00000000" w:rsidRPr="00000000">
        <w:rPr>
          <w:rtl w:val="0"/>
        </w:rPr>
      </w:r>
    </w:p>
    <w:p w:rsidR="00000000" w:rsidDel="00000000" w:rsidP="00000000" w:rsidRDefault="00000000" w:rsidRPr="00000000" w14:paraId="0000005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Current Rating</w:t>
      </w:r>
      <w:r w:rsidDel="00000000" w:rsidR="00000000" w:rsidRPr="00000000">
        <w:rPr>
          <w:rtl w:val="0"/>
        </w:rPr>
      </w:r>
    </w:p>
    <w:tbl>
      <w:tblPr>
        <w:tblStyle w:val="Table3"/>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5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5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5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5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[D&amp;B Threshold]</w:t>
            </w:r>
          </w:p>
        </w:tc>
      </w:tr>
      <w:tr>
        <w:trPr>
          <w:cantSplit w:val="0"/>
          <w:tblHeader w:val="0"/>
        </w:trPr>
        <w:tc>
          <w:tcPr>
            <w:shd w:fill="ffffff" w:val="clear"/>
          </w:tcPr>
          <w:p w:rsidR="00000000" w:rsidDel="00000000" w:rsidP="00000000" w:rsidRDefault="00000000" w:rsidRPr="00000000" w14:paraId="0000005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5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5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5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5C">
      <w:pPr>
        <w:spacing w:after="0" w:lineRule="auto"/>
        <w:rPr>
          <w:rFonts w:ascii="Arial" w:cs="Arial" w:eastAsia="Arial" w:hAnsi="Arial"/>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F">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RM6186 – Fuel Cards VI</w:t>
      <w:tab/>
      <w:t xml:space="preserve">                                           </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1">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v3.4</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2">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4">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Yex+Lkpx2zvLc1o6LjZZlxHWGPg==">AMUW2mVTNqv0HPZoAPX6JoK57ioZcxtoLc880jyh2N71K9fwDVNRzkNnUE4GSu7yMu+TaK64eg0L8YfR0SDjX6Nh4+OZ+inrMkQZ9rLT5635Y4h5ap/GYiX1jNHDioI2lHAwzCyFG28t8Qz+SMYppUfvDggMeiX+fqOzxTo/Sp6AR9zRQ+oh8fmytuWkBxtpgwZA4lCE1RAw2oWET/Zr9fbxuWn0HZwaxivCrrSVdIggbz/3m9vRqCvvg+pJIn5fW6gdCsfKi/35A/zpoLo+T7AAGanevF87jsFQj/s/Cb95pjRuwY0u8H3sKS0iWCni4iaSX0BoOx+fykgYg2+IODpMAmKQ9pXqlE9/SYfsNgutm7tiqn4G3IbpwlKPN2Ff/RiWhY04Re67vdqIcJeyEzz2CSfsSxyJgrHka3mU31U65JXcdANQnA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2021-07-16T10:01:00Z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